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DD" w:rsidRPr="00740E33" w:rsidRDefault="006D23DD" w:rsidP="006D23DD">
      <w:pPr>
        <w:pStyle w:val="Ttulo1"/>
        <w:ind w:hanging="2"/>
        <w:jc w:val="center"/>
        <w:rPr>
          <w:rFonts w:cs="Arial"/>
          <w:szCs w:val="24"/>
        </w:rPr>
      </w:pPr>
      <w:bookmarkStart w:id="0" w:name="_Toc58856192"/>
      <w:bookmarkStart w:id="1" w:name="_Toc64661384"/>
      <w:bookmarkStart w:id="2" w:name="_Toc65028122"/>
      <w:r>
        <w:rPr>
          <w:rFonts w:cs="Arial"/>
          <w:szCs w:val="24"/>
        </w:rPr>
        <w:t>APÊNDICE</w:t>
      </w:r>
      <w:r w:rsidRPr="00740E33">
        <w:rPr>
          <w:rFonts w:cs="Arial"/>
          <w:szCs w:val="24"/>
        </w:rPr>
        <w:t>III</w:t>
      </w:r>
      <w:bookmarkEnd w:id="0"/>
      <w:bookmarkEnd w:id="1"/>
      <w:bookmarkEnd w:id="2"/>
    </w:p>
    <w:p w:rsidR="006D23DD" w:rsidRDefault="006D23DD" w:rsidP="00FB5C89">
      <w:pPr>
        <w:pStyle w:val="Normal1"/>
        <w:ind w:left="0" w:hanging="2"/>
        <w:jc w:val="center"/>
        <w:rPr>
          <w:rFonts w:ascii="Arial" w:hAnsi="Arial" w:cs="Arial"/>
          <w:b/>
          <w:bCs/>
          <w:sz w:val="24"/>
          <w:szCs w:val="24"/>
        </w:rPr>
      </w:pPr>
    </w:p>
    <w:p w:rsidR="006D23DD" w:rsidRPr="00A643BA" w:rsidRDefault="006D23DD" w:rsidP="006D23DD">
      <w:pPr>
        <w:pStyle w:val="Ttulo1"/>
        <w:ind w:hanging="2"/>
        <w:jc w:val="center"/>
        <w:rPr>
          <w:rFonts w:cs="Arial"/>
          <w:szCs w:val="24"/>
        </w:rPr>
      </w:pPr>
      <w:bookmarkStart w:id="3" w:name="_Toc58856193"/>
      <w:bookmarkStart w:id="4" w:name="_Toc64661385"/>
      <w:bookmarkStart w:id="5" w:name="_Toc65028123"/>
      <w:r w:rsidRPr="00A643BA">
        <w:rPr>
          <w:rFonts w:cs="Arial"/>
          <w:szCs w:val="24"/>
        </w:rPr>
        <w:t>ÁREAS TEMÁTICAS</w:t>
      </w:r>
      <w:bookmarkEnd w:id="3"/>
      <w:bookmarkEnd w:id="4"/>
      <w:bookmarkEnd w:id="5"/>
    </w:p>
    <w:tbl>
      <w:tblPr>
        <w:tblW w:w="9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85"/>
        <w:gridCol w:w="7665"/>
      </w:tblGrid>
      <w:tr w:rsidR="006D23DD" w:rsidTr="0023411B">
        <w:trPr>
          <w:trHeight w:val="93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Pr="001731BC" w:rsidRDefault="006D23DD" w:rsidP="0023411B">
            <w:pPr>
              <w:ind w:right="-311"/>
              <w:jc w:val="left"/>
              <w:rPr>
                <w:b/>
              </w:rPr>
            </w:pPr>
            <w:bookmarkStart w:id="6" w:name="_Toc58856194"/>
            <w:r w:rsidRPr="001731BC">
              <w:rPr>
                <w:b/>
              </w:rPr>
              <w:t>Grandes Áreas Temáticas</w:t>
            </w:r>
            <w:bookmarkEnd w:id="6"/>
          </w:p>
        </w:tc>
        <w:tc>
          <w:tcPr>
            <w:tcW w:w="7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Pr="001731BC" w:rsidRDefault="006D23DD" w:rsidP="0023411B">
            <w:pPr>
              <w:jc w:val="center"/>
              <w:rPr>
                <w:b/>
              </w:rPr>
            </w:pPr>
            <w:bookmarkStart w:id="7" w:name="_Toc58856195"/>
            <w:r w:rsidRPr="001731BC">
              <w:rPr>
                <w:b/>
              </w:rPr>
              <w:t xml:space="preserve">Subáreas Transversais de Ensino, Pesquisa, Inovação e </w:t>
            </w:r>
            <w:proofErr w:type="gramStart"/>
            <w:r w:rsidRPr="001731BC">
              <w:rPr>
                <w:b/>
              </w:rPr>
              <w:t>Extensão</w:t>
            </w:r>
            <w:bookmarkEnd w:id="7"/>
            <w:proofErr w:type="gramEnd"/>
          </w:p>
        </w:tc>
      </w:tr>
      <w:tr w:rsidR="006D23DD" w:rsidTr="0023411B">
        <w:trPr>
          <w:trHeight w:val="111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8" w:name="_Toc58856196"/>
            <w:r>
              <w:rPr>
                <w:highlight w:val="white"/>
              </w:rPr>
              <w:t>CIÊNCIAS AGRÁRIAS</w:t>
            </w:r>
            <w:bookmarkEnd w:id="8"/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9" w:name="_Toc58856197"/>
            <w:r>
              <w:rPr>
                <w:highlight w:val="white"/>
              </w:rPr>
              <w:t>Agronomia; Recursos Florestais e Engenharia Florestal; Engenharia Agrícola; Zootecnia; Medicina Veterinária; Recursos Pesqueiros e Engenharia de Pesca; Ciência e Tecnologia de Alimentos, Inovação em Segurança Alimentar e Nutricional; Agronegócio e/ou Agropecuária Sustentável; Agroecologia e Desenvolvimento Rural; Agrotech, entre outras.</w:t>
            </w:r>
            <w:bookmarkEnd w:id="9"/>
          </w:p>
        </w:tc>
      </w:tr>
      <w:tr w:rsidR="006D23DD" w:rsidTr="0023411B">
        <w:trPr>
          <w:trHeight w:val="162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10" w:name="_Toc58856198"/>
            <w:r>
              <w:rPr>
                <w:highlight w:val="white"/>
              </w:rPr>
              <w:t>CIÊNCIAS BIOLÓGICAS</w:t>
            </w:r>
            <w:bookmarkEnd w:id="10"/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11" w:name="_Toc58856199"/>
            <w:r>
              <w:rPr>
                <w:highlight w:val="white"/>
              </w:rPr>
              <w:t>Biologia Geral; Genética; Botânica; Zoologia; Ecologia; Morfologia; Fisiologia; Bioquímica; Biofísica; Farmacologia; Imunologia; Microbiologia; Parasitologia; Meio Ambiente e Recursos Naturais; Segurança Hídrica; Bioeconomia; Oceanos e Biomas Brasileiros; Clima e Sustentabilidade de Biomas; Energias Renováveis e Biocombustíveis; Tecnologias Ambientais, Saneamento e/ou Controle Ambiental; Tecnologias de Produtos Naturais; Saneamento Ambiental e Desenvolvimento Urbano; Preservação Ambiental, entre outras.</w:t>
            </w:r>
            <w:bookmarkEnd w:id="11"/>
          </w:p>
        </w:tc>
      </w:tr>
      <w:tr w:rsidR="006D23DD" w:rsidTr="0023411B">
        <w:trPr>
          <w:trHeight w:val="89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12" w:name="_Toc58856200"/>
            <w:r>
              <w:rPr>
                <w:highlight w:val="white"/>
              </w:rPr>
              <w:t>CIÊNCIAS DA SAÚDE</w:t>
            </w:r>
            <w:bookmarkEnd w:id="12"/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13" w:name="_Toc58856201"/>
            <w:r>
              <w:t>Medicina; Odontologia; Farmácia; Enfermagem; Nutrição; Saúde Coletiva; Fonoaudiologia; Fisioterapia; Terapia Ocupacional; Educação Física; Tecnologias e Inovação em Saúde; Promoção da Saúde</w:t>
            </w:r>
            <w:r>
              <w:rPr>
                <w:highlight w:val="white"/>
              </w:rPr>
              <w:t>; Tecnologias Assistivas, entre outras.</w:t>
            </w:r>
            <w:bookmarkEnd w:id="13"/>
          </w:p>
        </w:tc>
      </w:tr>
      <w:tr w:rsidR="006D23DD" w:rsidTr="0023411B">
        <w:trPr>
          <w:trHeight w:val="111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14" w:name="_Toc58856202"/>
            <w:r>
              <w:rPr>
                <w:highlight w:val="white"/>
              </w:rPr>
              <w:t>CIÊNCIAS EXATAS E DA TERRA</w:t>
            </w:r>
            <w:bookmarkEnd w:id="14"/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15" w:name="_Toc58856203"/>
            <w:r>
              <w:rPr>
                <w:highlight w:val="white"/>
              </w:rPr>
              <w:t xml:space="preserve">Matemática; Probabilidade e Estatística; Ciência da Computação; Astronomia; Física; Química; Geociências; Oceanografia; Biopolímeros </w:t>
            </w:r>
            <w:bookmarkStart w:id="16" w:name="_GoBack"/>
            <w:bookmarkEnd w:id="16"/>
            <w:r>
              <w:rPr>
                <w:highlight w:val="white"/>
              </w:rPr>
              <w:t xml:space="preserve">e Tecnologias Ambientais; Biotecnologias e/ou </w:t>
            </w:r>
            <w:r>
              <w:rPr>
                <w:highlight w:val="white"/>
              </w:rPr>
              <w:lastRenderedPageBreak/>
              <w:t>Nanotecnologia; Cibernética; Manufatura Avançada e Indústria; Petróleo e Gás; Química Aplicada, entre outras.</w:t>
            </w:r>
            <w:bookmarkEnd w:id="15"/>
          </w:p>
        </w:tc>
      </w:tr>
      <w:tr w:rsidR="006D23DD" w:rsidTr="0023411B">
        <w:trPr>
          <w:trHeight w:val="134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17" w:name="_Toc58856204"/>
            <w:r>
              <w:rPr>
                <w:highlight w:val="white"/>
              </w:rPr>
              <w:lastRenderedPageBreak/>
              <w:t>CIÊNCIAS HUMANAS</w:t>
            </w:r>
            <w:bookmarkEnd w:id="17"/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18" w:name="_Toc58856205"/>
            <w:r>
              <w:t>Filosofia; Sociologia; Antropologia; Arqueologia; História; Geografia; Psicologia; Educação; Ciência Política; Teologia; Economia Criativa; Direitos Humanos; Segurança Pública; Promoção da Igualdade Racial; Mulheres e Relações de Gênero; Relação entre Estado e Sociedade; Juventudes e Participação Social; Criação de Observatórios e Desenvolvimento de Indicadores de Programas e Projetos</w:t>
            </w:r>
            <w:r>
              <w:rPr>
                <w:highlight w:val="white"/>
              </w:rPr>
              <w:t>, entre outras.</w:t>
            </w:r>
            <w:bookmarkEnd w:id="18"/>
          </w:p>
        </w:tc>
      </w:tr>
      <w:tr w:rsidR="006D23DD" w:rsidTr="0023411B">
        <w:trPr>
          <w:trHeight w:val="2457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19" w:name="_Toc58856206"/>
            <w:r>
              <w:rPr>
                <w:highlight w:val="white"/>
              </w:rPr>
              <w:t>CIÊNCIAS SOCIAIS APLICADAS</w:t>
            </w:r>
            <w:bookmarkEnd w:id="19"/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20" w:name="_Toc58856207"/>
            <w:r>
              <w:rPr>
                <w:highlight w:val="white"/>
              </w:rPr>
              <w:t xml:space="preserve">Direito; Administração; Economia; Arquitetura e Urbanismo; Planejamento Urbano e Regional; Demografia; Ciência da Informação; </w:t>
            </w:r>
            <w:proofErr w:type="spellStart"/>
            <w:r>
              <w:rPr>
                <w:highlight w:val="white"/>
              </w:rPr>
              <w:t>Museologia</w:t>
            </w:r>
            <w:proofErr w:type="spellEnd"/>
            <w:r>
              <w:rPr>
                <w:highlight w:val="white"/>
              </w:rPr>
              <w:t xml:space="preserve">; Comunicação; Serviço Social; Economia Doméstica; Desenho Industrial; Turismo; Extensão Tecnológica e Inclusão Social; </w:t>
            </w:r>
            <w:r>
              <w:t>Tecnologias Sociais, Ambientes Produtivos e/ou Sociais; Redução das Desigualdades Sociais e Combate à Extrema Pobreza; Geração de Trabalho e Renda por meio do Apoio e Fortalecimento de Empreendimentos Econômicos Solidários (</w:t>
            </w:r>
            <w:proofErr w:type="spellStart"/>
            <w:r>
              <w:t>EESs</w:t>
            </w:r>
            <w:proofErr w:type="spellEnd"/>
            <w:r>
              <w:t>); Desenvolvimento Regional: Inclusão Produtiva, Defesa Civil e Acesso à Água</w:t>
            </w:r>
            <w:r>
              <w:rPr>
                <w:highlight w:val="white"/>
              </w:rPr>
              <w:t>, entre outras.</w:t>
            </w:r>
            <w:bookmarkEnd w:id="20"/>
          </w:p>
        </w:tc>
      </w:tr>
      <w:tr w:rsidR="006D23DD" w:rsidTr="0023411B">
        <w:trPr>
          <w:trHeight w:val="2541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21" w:name="_Toc58856208"/>
            <w:r>
              <w:rPr>
                <w:highlight w:val="white"/>
              </w:rPr>
              <w:t>ENGENHARIAS</w:t>
            </w:r>
            <w:bookmarkEnd w:id="21"/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22" w:name="_Toc58856209"/>
            <w:r>
              <w:rPr>
                <w:highlight w:val="white"/>
              </w:rPr>
              <w:t xml:space="preserve">Engenharia Civil; Engenharia de Minas; Engenharia de Materiais e Metalúrgica; Engenharia Elétrica; Engenharia Mecânica; Engenharia Química; Engenharia Sanitária; Engenharia de Produção; Engenharia Nuclear; Engenharia de Transportes; Engenharia Naval e Oceânica; Engenharia Aeroespacial; Engenharia Biomédica; Tecnologias Aplicadas em Engenharias; Tecnologias da Informação e Comunicação; Tecnologias e Gestão da Informação; Internet das </w:t>
            </w:r>
            <w:r>
              <w:rPr>
                <w:highlight w:val="white"/>
              </w:rPr>
              <w:lastRenderedPageBreak/>
              <w:t>Coisas (IOT); Inteligência Artificial; Extensão Tecnológica e Inovação para Inclusão Social, entre outras.</w:t>
            </w:r>
            <w:bookmarkEnd w:id="22"/>
          </w:p>
        </w:tc>
      </w:tr>
      <w:tr w:rsidR="006D23DD" w:rsidTr="0023411B">
        <w:trPr>
          <w:trHeight w:val="150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23" w:name="_Toc58856210"/>
            <w:r>
              <w:rPr>
                <w:highlight w:val="white"/>
              </w:rPr>
              <w:lastRenderedPageBreak/>
              <w:t>ENSINO</w:t>
            </w:r>
            <w:bookmarkEnd w:id="23"/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24" w:name="_Toc58856211"/>
            <w:r>
              <w:rPr>
                <w:highlight w:val="white"/>
              </w:rPr>
              <w:t>Prática Docente e Formação Inicial e Continuada de Professores; Educação Tutorial; Educação, Tecnologias e Comunicação; Educação Profissional: Ensino–aprendizagem, Currículo, Avaliação, Políticas e Gestão; Educação Inclusiva; Olimpíadas do Conhecimento; Tecnologias Educacionais; Educação e Divulgação Científica e Tecnológica, entre outras.</w:t>
            </w:r>
            <w:bookmarkEnd w:id="24"/>
          </w:p>
        </w:tc>
      </w:tr>
      <w:tr w:rsidR="006D23DD" w:rsidTr="0023411B">
        <w:trPr>
          <w:trHeight w:val="938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pPr>
              <w:rPr>
                <w:highlight w:val="white"/>
              </w:rPr>
            </w:pPr>
            <w:bookmarkStart w:id="25" w:name="_Toc58856212"/>
            <w:r>
              <w:rPr>
                <w:highlight w:val="white"/>
              </w:rPr>
              <w:t xml:space="preserve">LINGUÍSTICA, LETRAS E </w:t>
            </w:r>
            <w:proofErr w:type="gramStart"/>
            <w:r>
              <w:rPr>
                <w:highlight w:val="white"/>
              </w:rPr>
              <w:t>ARTES</w:t>
            </w:r>
            <w:bookmarkEnd w:id="25"/>
            <w:proofErr w:type="gramEnd"/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DD" w:rsidRDefault="006D23DD" w:rsidP="0023411B">
            <w:bookmarkStart w:id="26" w:name="_Toc58856213"/>
            <w:r>
              <w:t>Estudos Linguísticos; Estudos Literários; Fundamentos e Crítica das Artes; Relações entre Linguagem e Sociedade; Linguagem e Ensino; Linguagem e Diversidade; Literaturas, Política e Sociedade; Literaturas e Outras Artes; Literatura e Ensino; Literatura e Diversidade; Culturas e Artes; Artes Plásticas; Música; Dança; Teatro; Cinema; Fotografia; Artes e Ensino; Preservação do Patrimônio Cultural Brasileiro; Esporte e Lazer, entre outras.</w:t>
            </w:r>
            <w:bookmarkEnd w:id="26"/>
          </w:p>
        </w:tc>
      </w:tr>
    </w:tbl>
    <w:p w:rsidR="009A1FB6" w:rsidRPr="0062288B" w:rsidRDefault="009A1FB6" w:rsidP="009A1FB6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925"/>
        </w:tabs>
        <w:spacing w:line="240" w:lineRule="auto"/>
        <w:ind w:hanging="2"/>
        <w:jc w:val="center"/>
        <w:rPr>
          <w:rFonts w:eastAsia="Times New Roman" w:cs="Arial"/>
          <w:b/>
          <w:color w:val="000000"/>
          <w:szCs w:val="24"/>
        </w:rPr>
      </w:pPr>
    </w:p>
    <w:p w:rsidR="003447A1" w:rsidRDefault="003447A1" w:rsidP="009A1FB6">
      <w:pPr>
        <w:ind w:left="426"/>
      </w:pPr>
    </w:p>
    <w:sectPr w:rsidR="003447A1" w:rsidSect="00C35A8E">
      <w:headerReference w:type="default" r:id="rId6"/>
      <w:footerReference w:type="default" r:id="rId7"/>
      <w:pgSz w:w="11906" w:h="16838"/>
      <w:pgMar w:top="1417" w:right="849" w:bottom="1417" w:left="709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D5" w:rsidRDefault="002348D5" w:rsidP="009A1FB6">
      <w:pPr>
        <w:spacing w:line="240" w:lineRule="auto"/>
      </w:pPr>
      <w:r>
        <w:separator/>
      </w:r>
    </w:p>
  </w:endnote>
  <w:endnote w:type="continuationSeparator" w:id="0">
    <w:p w:rsidR="002348D5" w:rsidRDefault="002348D5" w:rsidP="009A1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90"/>
      <w:docPartObj>
        <w:docPartGallery w:val="Page Numbers (Bottom of Page)"/>
        <w:docPartUnique/>
      </w:docPartObj>
    </w:sdtPr>
    <w:sdtContent>
      <w:p w:rsidR="00C35A8E" w:rsidRDefault="00C35A8E" w:rsidP="00C35A8E">
        <w:pPr>
          <w:pStyle w:val="Rodap"/>
          <w:jc w:val="center"/>
          <w:rPr>
            <w:rStyle w:val="markedcontent"/>
            <w:rFonts w:cs="Arial"/>
            <w:sz w:val="20"/>
          </w:rPr>
        </w:pPr>
        <w:r>
          <w:rPr>
            <w:rStyle w:val="markedcontent"/>
            <w:rFonts w:cs="Arial"/>
            <w:sz w:val="20"/>
          </w:rPr>
          <w:t>REGULAMENTO PARA OS CURSOS LIVRES DE EXTENSÃO DO INSTITUTO FEDERAL DE EDUCAÇÃO, CIÊNCIA E TECNOLOGIA DO RIO DE JANEIRO</w:t>
        </w:r>
        <w:r w:rsidR="00FB5C89">
          <w:rPr>
            <w:rStyle w:val="markedcontent"/>
            <w:rFonts w:cs="Arial"/>
            <w:sz w:val="20"/>
          </w:rPr>
          <w:t xml:space="preserve"> </w:t>
        </w:r>
        <w:r w:rsidR="00FB5C89" w:rsidRPr="00FB5C89">
          <w:rPr>
            <w:rStyle w:val="markedcontent"/>
            <w:rFonts w:cs="Arial"/>
            <w:sz w:val="20"/>
          </w:rPr>
          <w:t xml:space="preserve">(Resolução </w:t>
        </w:r>
        <w:r w:rsidR="00FB5C89">
          <w:rPr>
            <w:rStyle w:val="markedcontent"/>
            <w:rFonts w:cs="Arial"/>
            <w:sz w:val="20"/>
          </w:rPr>
          <w:t>CONSUP</w:t>
        </w:r>
        <w:r w:rsidR="00FB5C89" w:rsidRPr="00FB5C89">
          <w:rPr>
            <w:rStyle w:val="markedcontent"/>
            <w:rFonts w:cs="Arial"/>
            <w:sz w:val="20"/>
          </w:rPr>
          <w:t xml:space="preserve"> n° 28/2021</w:t>
        </w:r>
        <w:proofErr w:type="gramStart"/>
        <w:r w:rsidR="00FB5C89" w:rsidRPr="00FB5C89">
          <w:rPr>
            <w:rStyle w:val="markedcontent"/>
            <w:rFonts w:cs="Arial"/>
            <w:sz w:val="20"/>
          </w:rPr>
          <w:t>)</w:t>
        </w:r>
        <w:proofErr w:type="gramEnd"/>
      </w:p>
      <w:p w:rsidR="00C35A8E" w:rsidRDefault="001B5744">
        <w:pPr>
          <w:pStyle w:val="Rodap"/>
          <w:jc w:val="center"/>
        </w:pPr>
      </w:p>
    </w:sdtContent>
  </w:sdt>
  <w:p w:rsidR="009A1FB6" w:rsidRDefault="009A1FB6" w:rsidP="009A1FB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D5" w:rsidRDefault="002348D5" w:rsidP="009A1FB6">
      <w:pPr>
        <w:spacing w:line="240" w:lineRule="auto"/>
      </w:pPr>
      <w:r>
        <w:separator/>
      </w:r>
    </w:p>
  </w:footnote>
  <w:footnote w:type="continuationSeparator" w:id="0">
    <w:p w:rsidR="002348D5" w:rsidRDefault="002348D5" w:rsidP="009A1F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B6" w:rsidRDefault="009A1FB6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23875" cy="523875"/>
          <wp:effectExtent l="0" t="0" r="0" b="0"/>
          <wp:docPr id="1" name="image9.jpg" descr="brazao_g_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brazao_g_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1FB6" w:rsidRDefault="009A1FB6" w:rsidP="009A1FB6">
    <w:pPr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MINISTÉRIO DE EDUCAÇÃO</w:t>
    </w:r>
  </w:p>
  <w:p w:rsidR="009A1FB6" w:rsidRDefault="009A1FB6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 xml:space="preserve">INSTITUTO FEDERAL DE EDUCAÇÃO, CIÊNCIA E TECNOLOGIA DO RIO DE </w:t>
    </w:r>
    <w:proofErr w:type="gramStart"/>
    <w:r>
      <w:rPr>
        <w:rFonts w:ascii="Cambria" w:eastAsia="Cambria" w:hAnsi="Cambria" w:cs="Cambria"/>
        <w:b/>
        <w:color w:val="000000"/>
        <w:sz w:val="16"/>
        <w:szCs w:val="16"/>
      </w:rPr>
      <w:t>JANEIRO</w:t>
    </w:r>
    <w:proofErr w:type="gramEnd"/>
  </w:p>
  <w:p w:rsidR="009A1FB6" w:rsidRDefault="001B5744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sdt>
      <w:sdtPr>
        <w:tag w:val="goog_rdk_140"/>
        <w:id w:val="905803304"/>
      </w:sdtPr>
      <w:sdtContent/>
    </w:sdt>
    <w:r w:rsidR="009A1FB6">
      <w:rPr>
        <w:rFonts w:ascii="Cambria" w:eastAsia="Cambria" w:hAnsi="Cambria" w:cs="Cambria"/>
        <w:b/>
        <w:color w:val="000000"/>
        <w:sz w:val="16"/>
        <w:szCs w:val="16"/>
      </w:rPr>
      <w:t>Diretoria de Extensão Comunitária e Tecnológica</w:t>
    </w:r>
  </w:p>
  <w:p w:rsidR="009A1FB6" w:rsidRDefault="009A1FB6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  <w:r>
      <w:rPr>
        <w:rFonts w:ascii="Cambria" w:eastAsia="Cambria" w:hAnsi="Cambria" w:cs="Cambria"/>
        <w:b/>
        <w:color w:val="000000"/>
        <w:sz w:val="16"/>
        <w:szCs w:val="16"/>
      </w:rPr>
      <w:t>Pró Reitoria de Extensão</w:t>
    </w:r>
  </w:p>
  <w:p w:rsidR="009A1FB6" w:rsidRDefault="009A1FB6">
    <w:pPr>
      <w:pStyle w:val="Cabealho"/>
    </w:pPr>
  </w:p>
  <w:p w:rsidR="009A1FB6" w:rsidRDefault="009A1F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1FB6"/>
    <w:rsid w:val="001B5744"/>
    <w:rsid w:val="002348D5"/>
    <w:rsid w:val="003447A1"/>
    <w:rsid w:val="006D23DD"/>
    <w:rsid w:val="008B6B7F"/>
    <w:rsid w:val="009A1FB6"/>
    <w:rsid w:val="009F07A6"/>
    <w:rsid w:val="00C35A8E"/>
    <w:rsid w:val="00FB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  <w:rsid w:val="009A1FB6"/>
    <w:pPr>
      <w:suppressAutoHyphens/>
      <w:spacing w:after="0" w:line="360" w:lineRule="auto"/>
      <w:jc w:val="both"/>
      <w:textDirection w:val="btLr"/>
      <w:textAlignment w:val="top"/>
      <w:outlineLvl w:val="0"/>
    </w:pPr>
    <w:rPr>
      <w:rFonts w:ascii="Arial" w:eastAsia="Calibri" w:hAnsi="Arial" w:cs="Calibri"/>
      <w:position w:val="-1"/>
      <w:sz w:val="24"/>
      <w:szCs w:val="20"/>
      <w:lang w:eastAsia="pt-BR"/>
    </w:rPr>
  </w:style>
  <w:style w:type="paragraph" w:styleId="Ttulo1">
    <w:name w:val="heading 1"/>
    <w:basedOn w:val="Normal1"/>
    <w:next w:val="Normal1"/>
    <w:link w:val="Ttulo1Char"/>
    <w:uiPriority w:val="9"/>
    <w:qFormat/>
    <w:rsid w:val="009A1FB6"/>
    <w:pPr>
      <w:keepNext/>
      <w:keepLines/>
      <w:spacing w:after="0" w:line="360" w:lineRule="auto"/>
      <w:ind w:leftChars="0" w:left="0" w:firstLineChars="0" w:firstLine="0"/>
      <w:jc w:val="both"/>
      <w:outlineLvl w:val="0"/>
    </w:pPr>
    <w:rPr>
      <w:rFonts w:ascii="Arial" w:hAnsi="Arial"/>
      <w:b/>
      <w:sz w:val="24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1F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FB6"/>
  </w:style>
  <w:style w:type="paragraph" w:styleId="Rodap">
    <w:name w:val="footer"/>
    <w:basedOn w:val="Normal"/>
    <w:link w:val="RodapChar"/>
    <w:uiPriority w:val="99"/>
    <w:unhideWhenUsed/>
    <w:rsid w:val="009A1F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FB6"/>
  </w:style>
  <w:style w:type="paragraph" w:styleId="Textodebalo">
    <w:name w:val="Balloon Text"/>
    <w:basedOn w:val="Normal"/>
    <w:link w:val="TextodebaloChar"/>
    <w:uiPriority w:val="99"/>
    <w:semiHidden/>
    <w:unhideWhenUsed/>
    <w:rsid w:val="009A1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F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A1FB6"/>
    <w:rPr>
      <w:rFonts w:ascii="Arial" w:eastAsia="Calibri" w:hAnsi="Arial" w:cs="Calibri"/>
      <w:b/>
      <w:sz w:val="24"/>
      <w:szCs w:val="48"/>
      <w:lang w:eastAsia="pt-BR"/>
    </w:rPr>
  </w:style>
  <w:style w:type="paragraph" w:customStyle="1" w:styleId="Normal1">
    <w:name w:val="Normal1"/>
    <w:rsid w:val="009A1FB6"/>
    <w:pPr>
      <w:spacing w:after="100"/>
      <w:ind w:leftChars="-1" w:left="-1" w:hangingChars="1" w:hanging="1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markedcontent">
    <w:name w:val="markedcontent"/>
    <w:basedOn w:val="Fontepargpadro"/>
    <w:rsid w:val="009A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VitorII</dc:creator>
  <cp:lastModifiedBy>VitorII</cp:lastModifiedBy>
  <cp:revision>2</cp:revision>
  <dcterms:created xsi:type="dcterms:W3CDTF">2021-08-25T16:41:00Z</dcterms:created>
  <dcterms:modified xsi:type="dcterms:W3CDTF">2021-08-25T16:41:00Z</dcterms:modified>
</cp:coreProperties>
</file>